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C74" w:rsidRPr="003A6031" w:rsidRDefault="00B55C74" w:rsidP="00B55C7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3A6031">
        <w:rPr>
          <w:rFonts w:ascii="Times New Roman" w:hAnsi="Times New Roman" w:cs="Times New Roman"/>
          <w:sz w:val="20"/>
          <w:szCs w:val="20"/>
        </w:rPr>
        <w:t>Утверждена</w:t>
      </w:r>
    </w:p>
    <w:p w:rsidR="00B55C74" w:rsidRPr="003A6031" w:rsidRDefault="00B55C74" w:rsidP="00B55C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6031">
        <w:rPr>
          <w:rFonts w:ascii="Times New Roman" w:hAnsi="Times New Roman" w:cs="Times New Roman"/>
          <w:sz w:val="20"/>
          <w:szCs w:val="20"/>
        </w:rPr>
        <w:t>постановлением</w:t>
      </w:r>
    </w:p>
    <w:p w:rsidR="00B55C74" w:rsidRPr="003A6031" w:rsidRDefault="00B55C74" w:rsidP="00B55C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6031">
        <w:rPr>
          <w:rFonts w:ascii="Times New Roman" w:hAnsi="Times New Roman" w:cs="Times New Roman"/>
          <w:sz w:val="20"/>
          <w:szCs w:val="20"/>
        </w:rPr>
        <w:t>Правительства</w:t>
      </w:r>
    </w:p>
    <w:p w:rsidR="00B55C74" w:rsidRPr="003A6031" w:rsidRDefault="00B55C74" w:rsidP="00B55C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6031">
        <w:rPr>
          <w:rFonts w:ascii="Times New Roman" w:hAnsi="Times New Roman" w:cs="Times New Roman"/>
          <w:sz w:val="20"/>
          <w:szCs w:val="20"/>
        </w:rPr>
        <w:t>Кабардино-Балкарской Республики</w:t>
      </w:r>
    </w:p>
    <w:p w:rsidR="00B55C74" w:rsidRPr="003A6031" w:rsidRDefault="00B55C74" w:rsidP="00B55C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6031">
        <w:rPr>
          <w:rFonts w:ascii="Times New Roman" w:hAnsi="Times New Roman" w:cs="Times New Roman"/>
          <w:sz w:val="20"/>
          <w:szCs w:val="20"/>
        </w:rPr>
        <w:t xml:space="preserve">от 23 октября 2019 г. </w:t>
      </w:r>
      <w:r w:rsidR="003A6031" w:rsidRPr="003A6031">
        <w:rPr>
          <w:rFonts w:ascii="Times New Roman" w:hAnsi="Times New Roman" w:cs="Times New Roman"/>
          <w:sz w:val="20"/>
          <w:szCs w:val="20"/>
        </w:rPr>
        <w:t>№</w:t>
      </w:r>
      <w:r w:rsidRPr="003A6031">
        <w:rPr>
          <w:rFonts w:ascii="Times New Roman" w:hAnsi="Times New Roman" w:cs="Times New Roman"/>
          <w:sz w:val="20"/>
          <w:szCs w:val="20"/>
        </w:rPr>
        <w:t xml:space="preserve"> 184-ПП</w:t>
      </w:r>
    </w:p>
    <w:p w:rsidR="00B55C74" w:rsidRDefault="00B55C74" w:rsidP="00B55C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55C74" w:rsidRPr="003A6031" w:rsidRDefault="00B55C74" w:rsidP="00B55C7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6031">
        <w:rPr>
          <w:rFonts w:ascii="Times New Roman" w:hAnsi="Times New Roman" w:cs="Times New Roman"/>
          <w:b/>
          <w:bCs/>
          <w:sz w:val="24"/>
          <w:szCs w:val="24"/>
        </w:rPr>
        <w:t>ГОСУДАРСТВЕННАЯ ПРОГРАММА</w:t>
      </w:r>
    </w:p>
    <w:p w:rsidR="00B55C74" w:rsidRPr="003A6031" w:rsidRDefault="00B55C74" w:rsidP="00B55C7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6031">
        <w:rPr>
          <w:rFonts w:ascii="Times New Roman" w:hAnsi="Times New Roman" w:cs="Times New Roman"/>
          <w:b/>
          <w:bCs/>
          <w:sz w:val="24"/>
          <w:szCs w:val="24"/>
        </w:rPr>
        <w:t>КАБАРДИНО-БАЛКАРСКОЙ РЕСПУБЛИКИ "РАЗВИТИЕ ЗДРАВООХРАНЕНИЯ</w:t>
      </w:r>
    </w:p>
    <w:p w:rsidR="00B55C74" w:rsidRPr="003A6031" w:rsidRDefault="00B55C74" w:rsidP="00B55C7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6031">
        <w:rPr>
          <w:rFonts w:ascii="Times New Roman" w:hAnsi="Times New Roman" w:cs="Times New Roman"/>
          <w:b/>
          <w:bCs/>
          <w:sz w:val="24"/>
          <w:szCs w:val="24"/>
        </w:rPr>
        <w:t>В КАБАРДИНО-БАЛКАРСКОЙ РЕСПУБЛИКЕ"</w:t>
      </w:r>
    </w:p>
    <w:p w:rsidR="00B55C74" w:rsidRPr="003A6031" w:rsidRDefault="00B55C74" w:rsidP="00B55C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5C74" w:rsidRPr="003A6031" w:rsidRDefault="00B55C74" w:rsidP="00B55C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5C74" w:rsidRPr="003A6031" w:rsidRDefault="00B55C74" w:rsidP="00B55C7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6031">
        <w:rPr>
          <w:rFonts w:ascii="Times New Roman" w:hAnsi="Times New Roman" w:cs="Times New Roman"/>
          <w:b/>
          <w:bCs/>
          <w:sz w:val="24"/>
          <w:szCs w:val="24"/>
        </w:rPr>
        <w:t>ПАСПОРТ ГОСУДАРСТВЕННОЙ ПРОГРАММЫ</w:t>
      </w:r>
    </w:p>
    <w:p w:rsidR="00B55C74" w:rsidRPr="003A6031" w:rsidRDefault="00B55C74" w:rsidP="00B55C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7087"/>
      </w:tblGrid>
      <w:tr w:rsidR="00B55C74" w:rsidRPr="003A6031" w:rsidTr="00C139BB">
        <w:tc>
          <w:tcPr>
            <w:tcW w:w="1984" w:type="dxa"/>
          </w:tcPr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Координатор государственной программы</w:t>
            </w:r>
          </w:p>
        </w:tc>
        <w:tc>
          <w:tcPr>
            <w:tcW w:w="7087" w:type="dxa"/>
          </w:tcPr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Кабардино-Балкарской Республики</w:t>
            </w:r>
          </w:p>
        </w:tc>
      </w:tr>
      <w:tr w:rsidR="00B55C74" w:rsidRPr="003A6031" w:rsidTr="00C139BB">
        <w:tc>
          <w:tcPr>
            <w:tcW w:w="1984" w:type="dxa"/>
          </w:tcPr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Исполнители государственной программы</w:t>
            </w:r>
          </w:p>
        </w:tc>
        <w:tc>
          <w:tcPr>
            <w:tcW w:w="7087" w:type="dxa"/>
          </w:tcPr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Кабардино-Балкарской Республики,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 и жилищно-коммунального хозяйства Кабардино-Балкарской Республики,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Министерство труда и социальной защиты Кабардино-Балкарской Республики</w:t>
            </w:r>
          </w:p>
        </w:tc>
      </w:tr>
      <w:tr w:rsidR="00B55C74" w:rsidRPr="003A6031" w:rsidTr="00C139BB">
        <w:tc>
          <w:tcPr>
            <w:tcW w:w="9071" w:type="dxa"/>
            <w:gridSpan w:val="2"/>
          </w:tcPr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C74" w:rsidRPr="003A6031" w:rsidTr="00C139BB">
        <w:tc>
          <w:tcPr>
            <w:tcW w:w="1984" w:type="dxa"/>
          </w:tcPr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Подпрограммы государственной программы</w:t>
            </w:r>
          </w:p>
        </w:tc>
        <w:tc>
          <w:tcPr>
            <w:tcW w:w="7087" w:type="dxa"/>
          </w:tcPr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4" w:history="1">
              <w:r w:rsidRPr="003A603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Совершенствование</w:t>
              </w:r>
            </w:hyperlink>
            <w:r w:rsidRPr="003A6031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медицинской помощи, включая профилактику заболеваний и формирование здорового образа жизни";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5" w:history="1">
              <w:r w:rsidRPr="003A603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Развитие</w:t>
              </w:r>
            </w:hyperlink>
            <w:r w:rsidRPr="003A6031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реабилитации и санаторно-курортного лечения, в том числе детей";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6" w:history="1">
              <w:r w:rsidRPr="003A603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Развитие</w:t>
              </w:r>
            </w:hyperlink>
            <w:r w:rsidRPr="003A6031">
              <w:rPr>
                <w:rFonts w:ascii="Times New Roman" w:hAnsi="Times New Roman" w:cs="Times New Roman"/>
                <w:sz w:val="24"/>
                <w:szCs w:val="24"/>
              </w:rPr>
              <w:t xml:space="preserve"> кадровых ресурсов в здравоохранении";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7" w:history="1">
              <w:r w:rsidRPr="003A603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Экспертиза</w:t>
              </w:r>
            </w:hyperlink>
            <w:r w:rsidRPr="003A6031"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контрольно-надзорные функции в сфере охраны здоровья";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8" w:history="1">
              <w:r w:rsidRPr="003A603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Информационные</w:t>
              </w:r>
            </w:hyperlink>
            <w:r w:rsidRPr="003A6031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и управление развитием отрасли"</w:t>
            </w:r>
          </w:p>
        </w:tc>
      </w:tr>
      <w:tr w:rsidR="00B55C74" w:rsidRPr="003A6031" w:rsidTr="00C139BB">
        <w:tc>
          <w:tcPr>
            <w:tcW w:w="9071" w:type="dxa"/>
            <w:gridSpan w:val="2"/>
          </w:tcPr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C74" w:rsidRPr="003A6031" w:rsidTr="00C139BB">
        <w:tc>
          <w:tcPr>
            <w:tcW w:w="1984" w:type="dxa"/>
          </w:tcPr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Цели государственной программы</w:t>
            </w:r>
          </w:p>
        </w:tc>
        <w:tc>
          <w:tcPr>
            <w:tcW w:w="7087" w:type="dxa"/>
          </w:tcPr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медицинской помощи и повышение эффективности медицинских услуг, объемы, виды и качество которых должны соответствовать уровню заболеваемости и потребностям населения Кабардино-Балкарской Республики, а также передовым достижениям медицинской науки</w:t>
            </w:r>
          </w:p>
        </w:tc>
      </w:tr>
      <w:tr w:rsidR="00B55C74" w:rsidRPr="003A6031" w:rsidTr="00C139BB">
        <w:tc>
          <w:tcPr>
            <w:tcW w:w="1984" w:type="dxa"/>
          </w:tcPr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Задачи государственной программы</w:t>
            </w:r>
          </w:p>
        </w:tc>
        <w:tc>
          <w:tcPr>
            <w:tcW w:w="7087" w:type="dxa"/>
          </w:tcPr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обеспечение приоритета профилактики в сфере охраны здоровья и развития первичной медико-санитарной помощи;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оказания специализированной, включая высокотехнологичную, медицинской помощи, скорой, в </w:t>
            </w:r>
            <w:r w:rsidRPr="003A60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том числе скорой специализированной, медицинской помощи, медицинской эвакуации;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развитие и внедрение инновационных методов диагностики, профилактики и лечения, а также основ персонализированной медицины;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службы родовспоможения и детства;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развитие медицинской реабилитации населения и совершенствование системы санаторно-курортного лечения, в том числе детей;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обеспечение медицинской помощью неизлечимых больных, в том числе детей;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обеспечение системы здравоохранения высококвалифицированными кадрами;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развитие регионального сегмента Единой государственной информационной системы здравоохранения;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обеспечение системности организации охраны здоровья</w:t>
            </w:r>
          </w:p>
        </w:tc>
      </w:tr>
      <w:tr w:rsidR="00B55C74" w:rsidRPr="003A6031" w:rsidTr="00C139BB">
        <w:tc>
          <w:tcPr>
            <w:tcW w:w="1984" w:type="dxa"/>
          </w:tcPr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индикаторы и показатели государственной программы</w:t>
            </w:r>
          </w:p>
        </w:tc>
        <w:tc>
          <w:tcPr>
            <w:tcW w:w="7087" w:type="dxa"/>
          </w:tcPr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ожидаемая продолжительность жизни при рождении;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смертность населения трудоспособного возраста (на 100 тыс. населения);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смертность от болезней системы кровообращения (на 100 тыс. населения);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смертность населения от злокачественных новообразований (на 100 тыс. населения);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младенческая смертность (на 1 тыс. родившихся живыми);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удовлетворенность населения качеством медицинской помощи</w:t>
            </w:r>
          </w:p>
        </w:tc>
      </w:tr>
      <w:tr w:rsidR="00B55C74" w:rsidRPr="003A6031" w:rsidTr="00C139BB">
        <w:trPr>
          <w:trHeight w:val="123"/>
        </w:trPr>
        <w:tc>
          <w:tcPr>
            <w:tcW w:w="9071" w:type="dxa"/>
            <w:gridSpan w:val="2"/>
          </w:tcPr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C74" w:rsidRPr="003A6031" w:rsidTr="00C139BB">
        <w:trPr>
          <w:trHeight w:val="910"/>
        </w:trPr>
        <w:tc>
          <w:tcPr>
            <w:tcW w:w="1984" w:type="dxa"/>
          </w:tcPr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государственной программы</w:t>
            </w:r>
          </w:p>
        </w:tc>
        <w:tc>
          <w:tcPr>
            <w:tcW w:w="7087" w:type="dxa"/>
          </w:tcPr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2021 - 2025 годы</w:t>
            </w:r>
          </w:p>
        </w:tc>
      </w:tr>
      <w:tr w:rsidR="00B55C74" w:rsidRPr="003A6031" w:rsidTr="00C139BB">
        <w:trPr>
          <w:trHeight w:val="8970"/>
        </w:trPr>
        <w:tc>
          <w:tcPr>
            <w:tcW w:w="1984" w:type="dxa"/>
          </w:tcPr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7087" w:type="dxa"/>
          </w:tcPr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всего на реализацию программы предусматриваются средства в размере 76327487,04 тыс. рублей, в том числе: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на 2021 год - 16001051,30 тыс. рублей;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на 2022 год - 16445813,84 тыс. рублей;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на 2023 год - 14963844,43 тыс. рублей;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на 2024 год - 15375966,27 тыс. рублей;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на 2025 год - 13540811,20 тыс. рублей;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бюджета, по предварительной оценке, - 10127529,98 тыс. рублей, в том числе: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на 2021 год - 3360086,79 тыс. рублей;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на 2022 год - 2905861,00 тыс. рублей;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на 2023 год - 1750281,80 тыс. рублей;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на 2024 год - 1395670,30 тыс. рублей;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на 2025 год - 715630,09 тыс. рублей;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средства республиканского бюджета Кабардино-Балкарской Республики, по предварительной оценке, - 34221557,37 тыс. рублей, в том числе: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на 2021 год - 6947099,91 тыс. рублей;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на 2022 год - 7341378,92 тыс. рублей;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на 2023 год - 6610742,42 тыс. рублей;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на 2024 год - 6899616,64 тыс. рублей;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на 2025 год - 6422719,48 тыс. рублей;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иные источники (средства Территориального фонда обязательного медицинского страхования Кабардино-Балкарской Республики, средства Федерального фонда обязательного медицинского страхования), по предварительной оценке, - 31978399,67 тыс. рублей, в том числе: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на 2021 год - 5693864,60 тыс. рублей;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на 2022 год - 6198573,92 тыс. рублей;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на 2023 год - 6602820,21 тыс. рублей;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на 2024 год - 7080679,31 тыс. рублей;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на 2025 год - 6402461,63 тыс. рублей</w:t>
            </w:r>
          </w:p>
        </w:tc>
      </w:tr>
      <w:tr w:rsidR="00B55C74" w:rsidRPr="003A6031" w:rsidTr="00C139BB">
        <w:trPr>
          <w:trHeight w:val="229"/>
        </w:trPr>
        <w:tc>
          <w:tcPr>
            <w:tcW w:w="9071" w:type="dxa"/>
            <w:gridSpan w:val="2"/>
          </w:tcPr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C74" w:rsidRPr="003A6031" w:rsidTr="00C139BB">
        <w:trPr>
          <w:trHeight w:val="3000"/>
        </w:trPr>
        <w:tc>
          <w:tcPr>
            <w:tcW w:w="1984" w:type="dxa"/>
          </w:tcPr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государственной программы</w:t>
            </w:r>
          </w:p>
        </w:tc>
        <w:tc>
          <w:tcPr>
            <w:tcW w:w="7087" w:type="dxa"/>
          </w:tcPr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увеличение ожидаемой продолжительности жизни при рождении до 76,46 лет;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снижение показателей смертности населения трудоспособного возраста до 241,2 случая на 100 тыс. населения;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снижение смертности от болезней системы кровообращения до 356 случаев на 100 тыс. населения;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снижение смертности населения от злокачественных новообразований до 123,0 случаев на 100 тыс. населения;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снижение младенческой смертности до 4,6 случая на 1 тыс. родившихся живыми;</w:t>
            </w:r>
          </w:p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31">
              <w:rPr>
                <w:rFonts w:ascii="Times New Roman" w:hAnsi="Times New Roman" w:cs="Times New Roman"/>
                <w:sz w:val="24"/>
                <w:szCs w:val="24"/>
              </w:rPr>
              <w:t>увеличение удовлетворенности населения качеством медицинской помощи до 72 процентов от числа опрошенных</w:t>
            </w:r>
          </w:p>
        </w:tc>
      </w:tr>
      <w:tr w:rsidR="00B55C74" w:rsidRPr="003A6031" w:rsidTr="00C139BB">
        <w:trPr>
          <w:trHeight w:val="59"/>
        </w:trPr>
        <w:tc>
          <w:tcPr>
            <w:tcW w:w="9071" w:type="dxa"/>
            <w:gridSpan w:val="2"/>
          </w:tcPr>
          <w:p w:rsidR="00B55C74" w:rsidRPr="003A6031" w:rsidRDefault="00B55C74" w:rsidP="00C1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C5428E" w:rsidRDefault="00C5428E" w:rsidP="00F26520"/>
    <w:sectPr w:rsidR="00C5428E" w:rsidSect="00F26520">
      <w:pgSz w:w="11906" w:h="16838"/>
      <w:pgMar w:top="1440" w:right="566" w:bottom="2835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5C74"/>
    <w:rsid w:val="00277776"/>
    <w:rsid w:val="003A6031"/>
    <w:rsid w:val="00B55C74"/>
    <w:rsid w:val="00C139BB"/>
    <w:rsid w:val="00C5428E"/>
    <w:rsid w:val="00D82AAB"/>
    <w:rsid w:val="00F2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352AE"/>
  <w15:docId w15:val="{CF37C9C2-7F62-47DE-A54B-EB695984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A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0D413039E7686B978FF7E445E3303AD1C39384AD10A38C66577805A71FA1377F86CD9ED7FD6C6D335E48F0F5A624500BE058E8DE698F01426783R0s7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90D413039E7686B978FF7E445E3303AD1C39384AD10A38C66577805A71FA1377F86CD9ED7FD6C6D335F40F2F5A624500BE058E8DE698F01426783R0s7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90D413039E7686B978FF7E445E3303AD1C39384AD10A38C66577805A71FA1377F86CD9ED7FD6C6D335F4EF4F5A624500BE058E8DE698F01426783R0s7I" TargetMode="External"/><Relationship Id="rId5" Type="http://schemas.openxmlformats.org/officeDocument/2006/relationships/hyperlink" Target="consultantplus://offline/ref=090D413039E7686B978FF7E445E3303AD1C39384AD10A38C66577805A71FA1377F86CD9ED7FD6C6D335F4CF6F5A624500BE058E8DE698F01426783R0s7I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090D413039E7686B978FF7E445E3303AD1C39384AD10A38C66577805A71FA1377F86CD9ED7FD6C6D335F4AF8F5A624500BE058E8DE698F01426783R0s7I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ЗДР Варквасова Жанна 175</dc:creator>
  <cp:keywords/>
  <dc:description/>
  <cp:lastModifiedBy>МБУ Казакова Фатима 124</cp:lastModifiedBy>
  <cp:revision>5</cp:revision>
  <dcterms:created xsi:type="dcterms:W3CDTF">2022-10-13T08:47:00Z</dcterms:created>
  <dcterms:modified xsi:type="dcterms:W3CDTF">2022-10-16T08:16:00Z</dcterms:modified>
</cp:coreProperties>
</file>